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00AB" w14:textId="1EDB4675" w:rsidR="0072682D" w:rsidRDefault="0072682D" w:rsidP="00B94D7A">
      <w:pPr>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Sabiedrības ar ierobežotu atbildību “Jēkabpils siltums”</w:t>
      </w:r>
    </w:p>
    <w:p w14:paraId="04D0643F" w14:textId="6FBE92DE" w:rsidR="0072682D" w:rsidRDefault="0072682D" w:rsidP="00B94D7A">
      <w:pPr>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202</w:t>
      </w:r>
      <w:r w:rsidR="00E51F79">
        <w:rPr>
          <w:rFonts w:ascii="Times New Roman" w:hAnsi="Times New Roman" w:cs="Times New Roman"/>
          <w:b/>
          <w:bCs/>
          <w:sz w:val="28"/>
          <w:szCs w:val="28"/>
        </w:rPr>
        <w:t>4</w:t>
      </w:r>
      <w:r>
        <w:rPr>
          <w:rFonts w:ascii="Times New Roman" w:hAnsi="Times New Roman" w:cs="Times New Roman"/>
          <w:b/>
          <w:bCs/>
          <w:sz w:val="28"/>
          <w:szCs w:val="28"/>
        </w:rPr>
        <w:t>.gadā īstenotie pasākumi korupcijas riska novēršanai</w:t>
      </w:r>
      <w:r w:rsidR="00AF2071">
        <w:rPr>
          <w:rFonts w:ascii="Times New Roman" w:hAnsi="Times New Roman" w:cs="Times New Roman"/>
          <w:b/>
          <w:bCs/>
          <w:sz w:val="28"/>
          <w:szCs w:val="28"/>
        </w:rPr>
        <w:t xml:space="preserve"> (mazināšanai)</w:t>
      </w:r>
    </w:p>
    <w:p w14:paraId="01E2AA96" w14:textId="77777777" w:rsidR="00075E7A" w:rsidRDefault="00075E7A" w:rsidP="00075E7A">
      <w:pPr>
        <w:spacing w:after="0" w:line="240" w:lineRule="auto"/>
        <w:jc w:val="right"/>
        <w:rPr>
          <w:rFonts w:ascii="Times New Roman" w:hAnsi="Times New Roman" w:cs="Times New Roman"/>
          <w:sz w:val="24"/>
          <w:szCs w:val="24"/>
          <w:shd w:val="clear" w:color="auto" w:fill="FFFFFF"/>
        </w:rPr>
      </w:pPr>
    </w:p>
    <w:p w14:paraId="3C299A50" w14:textId="6EEC7F75"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Publicējamā informācija saskaņā ar</w:t>
      </w:r>
    </w:p>
    <w:p w14:paraId="2311D5B7" w14:textId="77777777"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Ministru kabineta 27.10.2017. noteikumu Nr. 630</w:t>
      </w:r>
    </w:p>
    <w:p w14:paraId="7E40A179" w14:textId="77777777"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“Noteikumi par iekšējās kontroles sistēmas pamatprasībām korupcijas un</w:t>
      </w:r>
    </w:p>
    <w:p w14:paraId="107F908D" w14:textId="77777777" w:rsidR="00075E7A" w:rsidRPr="00075E7A" w:rsidRDefault="00075E7A" w:rsidP="00075E7A">
      <w:pPr>
        <w:spacing w:after="0" w:line="240" w:lineRule="auto"/>
        <w:jc w:val="right"/>
        <w:rPr>
          <w:rFonts w:ascii="Times New Roman" w:hAnsi="Times New Roman" w:cs="Times New Roman"/>
          <w:sz w:val="24"/>
          <w:szCs w:val="24"/>
          <w:shd w:val="clear" w:color="auto" w:fill="FFFFFF"/>
        </w:rPr>
      </w:pPr>
      <w:r w:rsidRPr="00075E7A">
        <w:rPr>
          <w:rFonts w:ascii="Times New Roman" w:hAnsi="Times New Roman" w:cs="Times New Roman"/>
          <w:sz w:val="24"/>
          <w:szCs w:val="24"/>
          <w:shd w:val="clear" w:color="auto" w:fill="FFFFFF"/>
        </w:rPr>
        <w:t xml:space="preserve"> interešu konflikta risku novēršanai publiskas personas institūcijā” 9.punktu</w:t>
      </w:r>
    </w:p>
    <w:p w14:paraId="5DE52E2F" w14:textId="77777777" w:rsidR="00075E7A" w:rsidRDefault="00075E7A" w:rsidP="00B94D7A">
      <w:pPr>
        <w:spacing w:after="0" w:line="240" w:lineRule="auto"/>
        <w:ind w:firstLine="720"/>
        <w:jc w:val="center"/>
        <w:rPr>
          <w:rFonts w:ascii="Times New Roman" w:hAnsi="Times New Roman" w:cs="Times New Roman"/>
          <w:b/>
          <w:bCs/>
          <w:sz w:val="28"/>
          <w:szCs w:val="28"/>
        </w:rPr>
      </w:pPr>
    </w:p>
    <w:tbl>
      <w:tblPr>
        <w:tblStyle w:val="TableGrid"/>
        <w:tblW w:w="13745" w:type="dxa"/>
        <w:tblLook w:val="04A0" w:firstRow="1" w:lastRow="0" w:firstColumn="1" w:lastColumn="0" w:noHBand="0" w:noVBand="1"/>
      </w:tblPr>
      <w:tblGrid>
        <w:gridCol w:w="3539"/>
        <w:gridCol w:w="10206"/>
      </w:tblGrid>
      <w:tr w:rsidR="00A00287" w:rsidRPr="00AC78CC" w14:paraId="32203506" w14:textId="2750E5F1" w:rsidTr="00AF2071">
        <w:tc>
          <w:tcPr>
            <w:tcW w:w="3539" w:type="dxa"/>
          </w:tcPr>
          <w:p w14:paraId="5651AB8E" w14:textId="156942C8" w:rsidR="00A00287" w:rsidRPr="00AC78CC" w:rsidRDefault="00A00287" w:rsidP="00AF2071">
            <w:pPr>
              <w:jc w:val="center"/>
              <w:rPr>
                <w:rFonts w:ascii="Times New Roman" w:hAnsi="Times New Roman" w:cs="Times New Roman"/>
                <w:b/>
                <w:bCs/>
                <w:sz w:val="24"/>
                <w:szCs w:val="24"/>
              </w:rPr>
            </w:pPr>
            <w:r w:rsidRPr="00AC78CC">
              <w:rPr>
                <w:rFonts w:ascii="Times New Roman" w:hAnsi="Times New Roman" w:cs="Times New Roman"/>
                <w:b/>
                <w:bCs/>
                <w:sz w:val="24"/>
                <w:szCs w:val="24"/>
              </w:rPr>
              <w:t>Korupcijas risks</w:t>
            </w:r>
          </w:p>
        </w:tc>
        <w:tc>
          <w:tcPr>
            <w:tcW w:w="10206" w:type="dxa"/>
          </w:tcPr>
          <w:p w14:paraId="162F4A52" w14:textId="3E238191" w:rsidR="00A00287" w:rsidRPr="00AC78CC" w:rsidRDefault="00A00287" w:rsidP="00AF2071">
            <w:pPr>
              <w:jc w:val="center"/>
              <w:rPr>
                <w:rFonts w:ascii="Times New Roman" w:hAnsi="Times New Roman" w:cs="Times New Roman"/>
                <w:b/>
                <w:bCs/>
                <w:sz w:val="24"/>
                <w:szCs w:val="24"/>
              </w:rPr>
            </w:pPr>
            <w:r>
              <w:rPr>
                <w:rFonts w:ascii="Times New Roman" w:hAnsi="Times New Roman" w:cs="Times New Roman"/>
                <w:b/>
                <w:bCs/>
                <w:sz w:val="24"/>
                <w:szCs w:val="24"/>
              </w:rPr>
              <w:t>Īstenotie p</w:t>
            </w:r>
            <w:r w:rsidRPr="00AC78CC">
              <w:rPr>
                <w:rFonts w:ascii="Times New Roman" w:hAnsi="Times New Roman" w:cs="Times New Roman"/>
                <w:b/>
                <w:bCs/>
                <w:sz w:val="24"/>
                <w:szCs w:val="24"/>
              </w:rPr>
              <w:t>asākum</w:t>
            </w:r>
            <w:r>
              <w:rPr>
                <w:rFonts w:ascii="Times New Roman" w:hAnsi="Times New Roman" w:cs="Times New Roman"/>
                <w:b/>
                <w:bCs/>
                <w:sz w:val="24"/>
                <w:szCs w:val="24"/>
              </w:rPr>
              <w:t>i</w:t>
            </w:r>
          </w:p>
        </w:tc>
      </w:tr>
      <w:tr w:rsidR="00A00287" w14:paraId="22D32316" w14:textId="6D67D2D3" w:rsidTr="00AF2071">
        <w:tc>
          <w:tcPr>
            <w:tcW w:w="3539" w:type="dxa"/>
          </w:tcPr>
          <w:p w14:paraId="488F26B8" w14:textId="6147A5D7" w:rsidR="00A00287" w:rsidRDefault="00A00287" w:rsidP="002B6319">
            <w:pPr>
              <w:jc w:val="both"/>
              <w:rPr>
                <w:rFonts w:ascii="Times New Roman" w:hAnsi="Times New Roman" w:cs="Times New Roman"/>
                <w:sz w:val="24"/>
                <w:szCs w:val="24"/>
              </w:rPr>
            </w:pPr>
            <w:r>
              <w:rPr>
                <w:rFonts w:ascii="Times New Roman" w:hAnsi="Times New Roman" w:cs="Times New Roman"/>
                <w:sz w:val="24"/>
                <w:szCs w:val="24"/>
              </w:rPr>
              <w:t>Personāla atlasē un cilvēku vadības standartu izstrādē</w:t>
            </w:r>
          </w:p>
          <w:p w14:paraId="20E73F5B" w14:textId="77777777" w:rsidR="00A00287" w:rsidRPr="00AC78CC" w:rsidRDefault="00A00287" w:rsidP="002B6319">
            <w:pPr>
              <w:jc w:val="both"/>
              <w:rPr>
                <w:rFonts w:ascii="Times New Roman" w:hAnsi="Times New Roman" w:cs="Times New Roman"/>
                <w:sz w:val="24"/>
                <w:szCs w:val="24"/>
              </w:rPr>
            </w:pPr>
          </w:p>
        </w:tc>
        <w:tc>
          <w:tcPr>
            <w:tcW w:w="10206" w:type="dxa"/>
          </w:tcPr>
          <w:p w14:paraId="26E14F4E" w14:textId="349A3B21" w:rsidR="00A00287" w:rsidRPr="00DC1732" w:rsidRDefault="00A00287" w:rsidP="00DC1732">
            <w:pPr>
              <w:pStyle w:val="ListParagraph"/>
              <w:numPr>
                <w:ilvl w:val="0"/>
                <w:numId w:val="7"/>
              </w:numPr>
              <w:shd w:val="clear" w:color="auto" w:fill="FFFFFF"/>
              <w:ind w:left="357"/>
              <w:jc w:val="both"/>
              <w:rPr>
                <w:rFonts w:ascii="Times New Roman" w:hAnsi="Times New Roman" w:cs="Times New Roman"/>
                <w:sz w:val="24"/>
                <w:szCs w:val="24"/>
              </w:rPr>
            </w:pPr>
            <w:r>
              <w:rPr>
                <w:rFonts w:ascii="Times New Roman" w:hAnsi="Times New Roman" w:cs="Times New Roman"/>
                <w:sz w:val="24"/>
                <w:szCs w:val="24"/>
              </w:rPr>
              <w:t>P</w:t>
            </w:r>
            <w:r w:rsidRPr="00DC1732">
              <w:rPr>
                <w:rFonts w:ascii="Times New Roman" w:hAnsi="Times New Roman" w:cs="Times New Roman"/>
                <w:sz w:val="24"/>
                <w:szCs w:val="24"/>
              </w:rPr>
              <w:t xml:space="preserve">ārskatīti un nepieciešamības gadījumā aktualizēti </w:t>
            </w:r>
            <w:r w:rsidR="00AF2071">
              <w:rPr>
                <w:rFonts w:ascii="Times New Roman" w:hAnsi="Times New Roman" w:cs="Times New Roman"/>
                <w:sz w:val="24"/>
                <w:szCs w:val="24"/>
              </w:rPr>
              <w:t xml:space="preserve">atsevišķu </w:t>
            </w:r>
            <w:r w:rsidRPr="00DC1732">
              <w:rPr>
                <w:rFonts w:ascii="Times New Roman" w:hAnsi="Times New Roman" w:cs="Times New Roman"/>
                <w:sz w:val="24"/>
                <w:szCs w:val="24"/>
              </w:rPr>
              <w:t>darbinieku amata apraksti atbilstoši ārējiem tiesību aktiem, darbinieka ieņemamajam amatam un faktiski veicamajiem pienākumiem sabiedrībā;</w:t>
            </w:r>
          </w:p>
          <w:p w14:paraId="62763D34" w14:textId="5808A0AD" w:rsidR="00A00287" w:rsidRPr="00EC16E8" w:rsidRDefault="00A00287" w:rsidP="00EC16E8">
            <w:pPr>
              <w:pStyle w:val="ListParagraph"/>
              <w:numPr>
                <w:ilvl w:val="0"/>
                <w:numId w:val="7"/>
              </w:numPr>
              <w:shd w:val="clear" w:color="auto" w:fill="FFFFFF"/>
              <w:ind w:left="357"/>
              <w:jc w:val="both"/>
              <w:rPr>
                <w:rFonts w:ascii="Times New Roman" w:hAnsi="Times New Roman" w:cs="Times New Roman"/>
                <w:sz w:val="24"/>
                <w:szCs w:val="24"/>
              </w:rPr>
            </w:pPr>
            <w:r>
              <w:rPr>
                <w:rFonts w:ascii="Times New Roman" w:hAnsi="Times New Roman" w:cs="Times New Roman"/>
                <w:sz w:val="24"/>
                <w:szCs w:val="24"/>
              </w:rPr>
              <w:t>I</w:t>
            </w:r>
            <w:r w:rsidRPr="004911B5">
              <w:rPr>
                <w:rFonts w:ascii="Times New Roman" w:hAnsi="Times New Roman" w:cs="Times New Roman"/>
                <w:sz w:val="24"/>
                <w:szCs w:val="24"/>
              </w:rPr>
              <w:t>nformācij</w:t>
            </w:r>
            <w:r>
              <w:rPr>
                <w:rFonts w:ascii="Times New Roman" w:hAnsi="Times New Roman" w:cs="Times New Roman"/>
                <w:sz w:val="24"/>
                <w:szCs w:val="24"/>
              </w:rPr>
              <w:t>a</w:t>
            </w:r>
            <w:r w:rsidRPr="004911B5">
              <w:rPr>
                <w:rFonts w:ascii="Times New Roman" w:hAnsi="Times New Roman" w:cs="Times New Roman"/>
                <w:sz w:val="24"/>
                <w:szCs w:val="24"/>
              </w:rPr>
              <w:t xml:space="preserve"> par atklāt</w:t>
            </w:r>
            <w:r>
              <w:rPr>
                <w:rFonts w:ascii="Times New Roman" w:hAnsi="Times New Roman" w:cs="Times New Roman"/>
                <w:sz w:val="24"/>
                <w:szCs w:val="24"/>
              </w:rPr>
              <w:t>u</w:t>
            </w:r>
            <w:r w:rsidRPr="004911B5">
              <w:rPr>
                <w:rFonts w:ascii="Times New Roman" w:hAnsi="Times New Roman" w:cs="Times New Roman"/>
                <w:sz w:val="24"/>
                <w:szCs w:val="24"/>
              </w:rPr>
              <w:t xml:space="preserve"> pretendent</w:t>
            </w:r>
            <w:r>
              <w:rPr>
                <w:rFonts w:ascii="Times New Roman" w:hAnsi="Times New Roman" w:cs="Times New Roman"/>
                <w:sz w:val="24"/>
                <w:szCs w:val="24"/>
              </w:rPr>
              <w:t>a</w:t>
            </w:r>
            <w:r w:rsidRPr="004911B5">
              <w:rPr>
                <w:rFonts w:ascii="Times New Roman" w:hAnsi="Times New Roman" w:cs="Times New Roman"/>
                <w:sz w:val="24"/>
                <w:szCs w:val="24"/>
              </w:rPr>
              <w:t xml:space="preserve"> </w:t>
            </w:r>
            <w:r>
              <w:rPr>
                <w:rFonts w:ascii="Times New Roman" w:hAnsi="Times New Roman" w:cs="Times New Roman"/>
                <w:sz w:val="24"/>
                <w:szCs w:val="24"/>
              </w:rPr>
              <w:t xml:space="preserve">(darbinieka) </w:t>
            </w:r>
            <w:r w:rsidRPr="004911B5">
              <w:rPr>
                <w:rFonts w:ascii="Times New Roman" w:hAnsi="Times New Roman" w:cs="Times New Roman"/>
                <w:sz w:val="24"/>
                <w:szCs w:val="24"/>
              </w:rPr>
              <w:t>konkurs</w:t>
            </w:r>
            <w:r>
              <w:rPr>
                <w:rFonts w:ascii="Times New Roman" w:hAnsi="Times New Roman" w:cs="Times New Roman"/>
                <w:sz w:val="24"/>
                <w:szCs w:val="24"/>
              </w:rPr>
              <w:t>u</w:t>
            </w:r>
            <w:r w:rsidRPr="004911B5">
              <w:rPr>
                <w:rFonts w:ascii="Times New Roman" w:hAnsi="Times New Roman" w:cs="Times New Roman"/>
                <w:sz w:val="24"/>
                <w:szCs w:val="24"/>
              </w:rPr>
              <w:t xml:space="preserve"> uz brīv</w:t>
            </w:r>
            <w:r>
              <w:rPr>
                <w:rFonts w:ascii="Times New Roman" w:hAnsi="Times New Roman" w:cs="Times New Roman"/>
                <w:sz w:val="24"/>
                <w:szCs w:val="24"/>
              </w:rPr>
              <w:t>o</w:t>
            </w:r>
            <w:r w:rsidRPr="004911B5">
              <w:rPr>
                <w:rFonts w:ascii="Times New Roman" w:hAnsi="Times New Roman" w:cs="Times New Roman"/>
                <w:sz w:val="24"/>
                <w:szCs w:val="24"/>
              </w:rPr>
              <w:t xml:space="preserve"> </w:t>
            </w:r>
            <w:r w:rsidR="00786AC6">
              <w:rPr>
                <w:rFonts w:ascii="Times New Roman" w:hAnsi="Times New Roman" w:cs="Times New Roman"/>
                <w:sz w:val="24"/>
                <w:szCs w:val="24"/>
              </w:rPr>
              <w:t>amata</w:t>
            </w:r>
            <w:r w:rsidRPr="004911B5">
              <w:rPr>
                <w:rFonts w:ascii="Times New Roman" w:hAnsi="Times New Roman" w:cs="Times New Roman"/>
                <w:sz w:val="24"/>
                <w:szCs w:val="24"/>
              </w:rPr>
              <w:t xml:space="preserve"> viet</w:t>
            </w:r>
            <w:r>
              <w:rPr>
                <w:rFonts w:ascii="Times New Roman" w:hAnsi="Times New Roman" w:cs="Times New Roman"/>
                <w:sz w:val="24"/>
                <w:szCs w:val="24"/>
              </w:rPr>
              <w:t>u</w:t>
            </w:r>
            <w:r>
              <w:rPr>
                <w:rFonts w:ascii="Arial" w:hAnsi="Arial" w:cs="Arial"/>
                <w:color w:val="414142"/>
                <w:sz w:val="20"/>
                <w:szCs w:val="20"/>
                <w:shd w:val="clear" w:color="auto" w:fill="FFFFFF"/>
              </w:rPr>
              <w:t xml:space="preserve"> </w:t>
            </w:r>
            <w:r>
              <w:rPr>
                <w:rFonts w:ascii="Times New Roman" w:hAnsi="Times New Roman" w:cs="Times New Roman"/>
                <w:sz w:val="24"/>
                <w:szCs w:val="24"/>
              </w:rPr>
              <w:t xml:space="preserve">publicēta Nodarbinātības valsts aģentūras tīmekļvietnē – </w:t>
            </w:r>
            <w:hyperlink r:id="rId8" w:history="1">
              <w:r w:rsidRPr="00555A2C">
                <w:rPr>
                  <w:rStyle w:val="Hyperlink"/>
                  <w:rFonts w:ascii="Times New Roman" w:hAnsi="Times New Roman" w:cs="Times New Roman"/>
                  <w:sz w:val="24"/>
                  <w:szCs w:val="24"/>
                </w:rPr>
                <w:t>www.nva.gov.lv</w:t>
              </w:r>
            </w:hyperlink>
            <w:r>
              <w:rPr>
                <w:rFonts w:ascii="Times New Roman" w:hAnsi="Times New Roman" w:cs="Times New Roman"/>
                <w:sz w:val="24"/>
                <w:szCs w:val="24"/>
              </w:rPr>
              <w:t>, vakanču portālā (</w:t>
            </w:r>
            <w:r w:rsidRPr="004911B5">
              <w:rPr>
                <w:rFonts w:ascii="Times New Roman" w:hAnsi="Times New Roman" w:cs="Times New Roman"/>
                <w:i/>
                <w:iCs/>
                <w:sz w:val="24"/>
                <w:szCs w:val="24"/>
              </w:rPr>
              <w:t>Bezdarbnieku un darba meklētāju atbalsta likums 8.</w:t>
            </w:r>
            <w:r w:rsidRPr="004911B5">
              <w:rPr>
                <w:rFonts w:ascii="Times New Roman" w:hAnsi="Times New Roman" w:cs="Times New Roman"/>
                <w:i/>
                <w:iCs/>
                <w:sz w:val="24"/>
                <w:szCs w:val="24"/>
                <w:vertAlign w:val="superscript"/>
              </w:rPr>
              <w:t xml:space="preserve">1 </w:t>
            </w:r>
            <w:r w:rsidRPr="004911B5">
              <w:rPr>
                <w:rFonts w:ascii="Times New Roman" w:hAnsi="Times New Roman" w:cs="Times New Roman"/>
                <w:i/>
                <w:iCs/>
                <w:sz w:val="24"/>
                <w:szCs w:val="24"/>
              </w:rPr>
              <w:t>pants</w:t>
            </w:r>
            <w:r>
              <w:rPr>
                <w:rFonts w:ascii="Times New Roman" w:hAnsi="Times New Roman" w:cs="Times New Roman"/>
                <w:sz w:val="24"/>
                <w:szCs w:val="24"/>
              </w:rPr>
              <w:t xml:space="preserve">) un kapitālsabiedrības </w:t>
            </w:r>
            <w:r w:rsidRPr="005D085C">
              <w:rPr>
                <w:rFonts w:ascii="Times New Roman" w:hAnsi="Times New Roman" w:cs="Times New Roman"/>
                <w:sz w:val="24"/>
                <w:szCs w:val="24"/>
              </w:rPr>
              <w:t xml:space="preserve">tīmekļvietnē </w:t>
            </w:r>
            <w:r>
              <w:rPr>
                <w:rFonts w:ascii="Times New Roman" w:hAnsi="Times New Roman" w:cs="Times New Roman"/>
                <w:sz w:val="24"/>
                <w:szCs w:val="24"/>
              </w:rPr>
              <w:t xml:space="preserve"> - </w:t>
            </w:r>
            <w:hyperlink r:id="rId9" w:history="1">
              <w:r w:rsidRPr="00684A20">
                <w:rPr>
                  <w:rStyle w:val="Hyperlink"/>
                  <w:rFonts w:ascii="Times New Roman" w:hAnsi="Times New Roman" w:cs="Times New Roman"/>
                  <w:sz w:val="24"/>
                  <w:szCs w:val="24"/>
                </w:rPr>
                <w:t>www.jekabpils-siltums.lv</w:t>
              </w:r>
            </w:hyperlink>
            <w:r>
              <w:rPr>
                <w:rFonts w:ascii="Times New Roman" w:hAnsi="Times New Roman" w:cs="Times New Roman"/>
                <w:sz w:val="24"/>
                <w:szCs w:val="24"/>
              </w:rPr>
              <w:t xml:space="preserve">. </w:t>
            </w:r>
          </w:p>
        </w:tc>
      </w:tr>
      <w:tr w:rsidR="00426248" w14:paraId="7FC92340" w14:textId="77777777" w:rsidTr="00AF2071">
        <w:tc>
          <w:tcPr>
            <w:tcW w:w="3539" w:type="dxa"/>
          </w:tcPr>
          <w:p w14:paraId="640827C8" w14:textId="7AB3DD8F" w:rsidR="00426248" w:rsidRDefault="00426248" w:rsidP="002B6319">
            <w:pPr>
              <w:jc w:val="both"/>
              <w:rPr>
                <w:rFonts w:ascii="Times New Roman" w:hAnsi="Times New Roman" w:cs="Times New Roman"/>
                <w:sz w:val="24"/>
                <w:szCs w:val="24"/>
              </w:rPr>
            </w:pPr>
            <w:r>
              <w:rPr>
                <w:rFonts w:ascii="Times New Roman" w:hAnsi="Times New Roman" w:cs="Times New Roman"/>
                <w:sz w:val="24"/>
                <w:szCs w:val="24"/>
              </w:rPr>
              <w:t>Darba organizācija</w:t>
            </w:r>
          </w:p>
        </w:tc>
        <w:tc>
          <w:tcPr>
            <w:tcW w:w="10206" w:type="dxa"/>
          </w:tcPr>
          <w:p w14:paraId="27EB0FC8" w14:textId="221B58A8" w:rsidR="00426248" w:rsidRPr="004E2BC9" w:rsidRDefault="00786AC6" w:rsidP="00994B83">
            <w:pPr>
              <w:keepNext/>
              <w:jc w:val="both"/>
              <w:outlineLvl w:val="1"/>
              <w:rPr>
                <w:rFonts w:ascii="Times New Roman" w:hAnsi="Times New Roman" w:cs="Times New Roman"/>
                <w:sz w:val="24"/>
                <w:szCs w:val="24"/>
              </w:rPr>
            </w:pPr>
            <w:r>
              <w:rPr>
                <w:rFonts w:ascii="Times New Roman" w:hAnsi="Times New Roman" w:cs="Times New Roman"/>
                <w:sz w:val="24"/>
                <w:szCs w:val="24"/>
              </w:rPr>
              <w:t>Pārskatīta Sabiedrības organizatoriskā struktūra, lai nodrošinātu kvalitatīvāku</w:t>
            </w:r>
            <w:r w:rsidR="00E51F79">
              <w:rPr>
                <w:rFonts w:ascii="Times New Roman" w:hAnsi="Times New Roman" w:cs="Times New Roman"/>
                <w:sz w:val="24"/>
                <w:szCs w:val="24"/>
              </w:rPr>
              <w:t>s</w:t>
            </w:r>
            <w:r>
              <w:rPr>
                <w:rFonts w:ascii="Times New Roman" w:hAnsi="Times New Roman" w:cs="Times New Roman"/>
                <w:sz w:val="24"/>
                <w:szCs w:val="24"/>
              </w:rPr>
              <w:t xml:space="preserve"> </w:t>
            </w:r>
            <w:r w:rsidRPr="00994B83">
              <w:rPr>
                <w:rFonts w:ascii="Times New Roman" w:hAnsi="Times New Roman" w:cs="Times New Roman"/>
                <w:sz w:val="24"/>
                <w:szCs w:val="24"/>
              </w:rPr>
              <w:t>Sabiedrības sniegtos pakalpojumus.</w:t>
            </w:r>
            <w:r w:rsidR="00994B83" w:rsidRPr="00994B83">
              <w:rPr>
                <w:rFonts w:ascii="Times New Roman" w:hAnsi="Times New Roman" w:cs="Times New Roman"/>
                <w:sz w:val="24"/>
                <w:szCs w:val="24"/>
              </w:rPr>
              <w:t xml:space="preserve"> Apstiprināts </w:t>
            </w:r>
            <w:r w:rsidR="00994B83">
              <w:rPr>
                <w:rFonts w:ascii="Times New Roman" w:hAnsi="Times New Roman" w:cs="Times New Roman"/>
                <w:sz w:val="24"/>
                <w:szCs w:val="24"/>
              </w:rPr>
              <w:t>S</w:t>
            </w:r>
            <w:r w:rsidR="00994B83" w:rsidRPr="00994B83">
              <w:rPr>
                <w:rFonts w:ascii="Times New Roman" w:hAnsi="Times New Roman" w:cs="Times New Roman"/>
                <w:sz w:val="24"/>
                <w:szCs w:val="24"/>
              </w:rPr>
              <w:t xml:space="preserve">abiedrības </w:t>
            </w:r>
            <w:r w:rsidR="00994B83" w:rsidRPr="00994B83">
              <w:rPr>
                <w:rFonts w:ascii="Times New Roman" w:hAnsi="Times New Roman" w:cs="Times New Roman"/>
                <w:color w:val="000000" w:themeColor="text1"/>
                <w:sz w:val="24"/>
                <w:szCs w:val="24"/>
              </w:rPr>
              <w:t>neregulēto maksas pakalpojumu cenrādis.</w:t>
            </w:r>
          </w:p>
        </w:tc>
      </w:tr>
      <w:tr w:rsidR="00A00287" w14:paraId="2FC98887" w14:textId="77777777" w:rsidTr="00AF2071">
        <w:tc>
          <w:tcPr>
            <w:tcW w:w="3539" w:type="dxa"/>
          </w:tcPr>
          <w:p w14:paraId="025AF53B" w14:textId="18EA2270" w:rsidR="00A00287" w:rsidRDefault="00A00287" w:rsidP="00473297">
            <w:pPr>
              <w:rPr>
                <w:rFonts w:ascii="Times New Roman" w:hAnsi="Times New Roman" w:cs="Times New Roman"/>
                <w:sz w:val="24"/>
                <w:szCs w:val="24"/>
              </w:rPr>
            </w:pPr>
            <w:r>
              <w:rPr>
                <w:rFonts w:ascii="Times New Roman" w:hAnsi="Times New Roman" w:cs="Times New Roman"/>
                <w:sz w:val="24"/>
                <w:szCs w:val="24"/>
              </w:rPr>
              <w:t>Iepirkuma procedūras un “</w:t>
            </w:r>
            <w:proofErr w:type="spellStart"/>
            <w:r>
              <w:rPr>
                <w:rFonts w:ascii="Times New Roman" w:hAnsi="Times New Roman" w:cs="Times New Roman"/>
                <w:sz w:val="24"/>
                <w:szCs w:val="24"/>
              </w:rPr>
              <w:t>Zemsliekšņa</w:t>
            </w:r>
            <w:proofErr w:type="spellEnd"/>
            <w:r>
              <w:rPr>
                <w:rFonts w:ascii="Times New Roman" w:hAnsi="Times New Roman" w:cs="Times New Roman"/>
                <w:sz w:val="24"/>
                <w:szCs w:val="24"/>
              </w:rPr>
              <w:t>” iepirkuma procedūras.</w:t>
            </w:r>
          </w:p>
          <w:p w14:paraId="4DCA2365" w14:textId="6C1A694C" w:rsidR="00A00287" w:rsidRDefault="00A00287" w:rsidP="00473297">
            <w:pPr>
              <w:rPr>
                <w:rFonts w:ascii="Times New Roman" w:hAnsi="Times New Roman" w:cs="Times New Roman"/>
                <w:sz w:val="24"/>
                <w:szCs w:val="24"/>
              </w:rPr>
            </w:pPr>
          </w:p>
        </w:tc>
        <w:tc>
          <w:tcPr>
            <w:tcW w:w="10206" w:type="dxa"/>
          </w:tcPr>
          <w:p w14:paraId="515450F2" w14:textId="7A2FE4F6" w:rsidR="00A00287" w:rsidRDefault="00AF2071" w:rsidP="00473297">
            <w:pPr>
              <w:jc w:val="both"/>
              <w:rPr>
                <w:rFonts w:ascii="Times New Roman" w:hAnsi="Times New Roman" w:cs="Times New Roman"/>
                <w:i/>
                <w:iCs/>
                <w:sz w:val="24"/>
                <w:szCs w:val="24"/>
              </w:rPr>
            </w:pPr>
            <w:r>
              <w:rPr>
                <w:rFonts w:ascii="Times New Roman" w:hAnsi="Times New Roman" w:cs="Times New Roman"/>
                <w:sz w:val="24"/>
                <w:szCs w:val="24"/>
              </w:rPr>
              <w:t xml:space="preserve">1) </w:t>
            </w:r>
            <w:r w:rsidR="00D64A38">
              <w:rPr>
                <w:rFonts w:ascii="Times New Roman" w:hAnsi="Times New Roman" w:cs="Times New Roman"/>
                <w:sz w:val="24"/>
                <w:szCs w:val="24"/>
              </w:rPr>
              <w:t>Sabiedrības vajadzībām nepieciešamo preču</w:t>
            </w:r>
            <w:r w:rsidR="00786AC6">
              <w:rPr>
                <w:rFonts w:ascii="Times New Roman" w:hAnsi="Times New Roman" w:cs="Times New Roman"/>
                <w:sz w:val="24"/>
                <w:szCs w:val="24"/>
              </w:rPr>
              <w:t xml:space="preserve"> un</w:t>
            </w:r>
            <w:r w:rsidR="00D64A38">
              <w:rPr>
                <w:rFonts w:ascii="Times New Roman" w:hAnsi="Times New Roman" w:cs="Times New Roman"/>
                <w:sz w:val="24"/>
                <w:szCs w:val="24"/>
              </w:rPr>
              <w:t xml:space="preserve"> pakalpojumu </w:t>
            </w:r>
            <w:r w:rsidR="00786AC6">
              <w:rPr>
                <w:rFonts w:ascii="Times New Roman" w:hAnsi="Times New Roman" w:cs="Times New Roman"/>
                <w:sz w:val="24"/>
                <w:szCs w:val="24"/>
              </w:rPr>
              <w:t>p</w:t>
            </w:r>
            <w:r w:rsidR="00D64A38">
              <w:rPr>
                <w:rFonts w:ascii="Times New Roman" w:hAnsi="Times New Roman" w:cs="Times New Roman"/>
                <w:sz w:val="24"/>
                <w:szCs w:val="24"/>
              </w:rPr>
              <w:t>iegādei tiek organizēti iepirkumi vai tirgus izpētes.</w:t>
            </w:r>
          </w:p>
          <w:p w14:paraId="0E8D8461" w14:textId="004BD7F1" w:rsidR="00A00287" w:rsidRDefault="00AF2071" w:rsidP="00473297">
            <w:pPr>
              <w:jc w:val="both"/>
              <w:rPr>
                <w:rFonts w:ascii="Times New Roman" w:hAnsi="Times New Roman" w:cs="Times New Roman"/>
                <w:sz w:val="24"/>
                <w:szCs w:val="24"/>
              </w:rPr>
            </w:pPr>
            <w:r>
              <w:rPr>
                <w:rFonts w:ascii="Times New Roman" w:hAnsi="Times New Roman" w:cs="Times New Roman"/>
                <w:sz w:val="24"/>
                <w:szCs w:val="24"/>
              </w:rPr>
              <w:t xml:space="preserve">2) </w:t>
            </w:r>
            <w:r w:rsidR="00A00287">
              <w:rPr>
                <w:rFonts w:ascii="Times New Roman" w:hAnsi="Times New Roman" w:cs="Times New Roman"/>
                <w:sz w:val="24"/>
                <w:szCs w:val="24"/>
              </w:rPr>
              <w:t xml:space="preserve">Iepirkumu un tirgus izpētes organizēšanā tiek ievērots “četru acu” princips. </w:t>
            </w:r>
          </w:p>
          <w:p w14:paraId="661C44B8" w14:textId="74C30404"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t xml:space="preserve">Iepirkumu procedūru un tirgus izpēti organizē sabiedrības Iepirkumu komisija, izvērtē pretendentu iesniegto piedāvājumu atbilstību iepirkuma nolikuma vai tirgus izpētes prasībām un pieņem lēmumu par līguma tiesību piešķiršanu uzvarējušam pretendentam. Pamatojoties uz Iepirkumu komisijas lēmumu, līgumu ar uzvarējušo pretendentu sabiedrības vārdā noslēdz sabiedrības valdes loceklis. </w:t>
            </w:r>
          </w:p>
          <w:p w14:paraId="4B1C4CA0" w14:textId="7C245750" w:rsidR="00A00287" w:rsidRDefault="00AF2071" w:rsidP="00D64A38">
            <w:pPr>
              <w:pStyle w:val="NoSpacing"/>
              <w:jc w:val="both"/>
            </w:pPr>
            <w:r>
              <w:t xml:space="preserve">3) </w:t>
            </w:r>
            <w:r w:rsidR="00A00287">
              <w:t xml:space="preserve">Iepirkumi un tirgus izpētes izsludinātas un paziņojumi par to rezultātiem publicēti Elektronisko iepirkumu sistēmā – </w:t>
            </w:r>
            <w:hyperlink r:id="rId10" w:history="1">
              <w:r w:rsidR="00A00287" w:rsidRPr="00684A20">
                <w:rPr>
                  <w:rStyle w:val="Hyperlink"/>
                </w:rPr>
                <w:t>www.eis.gov.lv</w:t>
              </w:r>
            </w:hyperlink>
            <w:r w:rsidR="00A00287">
              <w:t xml:space="preserve"> </w:t>
            </w:r>
            <w:r w:rsidR="00786AC6">
              <w:t>un/</w:t>
            </w:r>
            <w:r w:rsidR="00A00287">
              <w:t xml:space="preserve">vai sabiedrības tīmekļvietnē – </w:t>
            </w:r>
            <w:hyperlink r:id="rId11" w:history="1">
              <w:r w:rsidR="00A00287" w:rsidRPr="00684A20">
                <w:rPr>
                  <w:rStyle w:val="Hyperlink"/>
                </w:rPr>
                <w:t>www.jekabpils-siltums.lv</w:t>
              </w:r>
            </w:hyperlink>
            <w:r w:rsidR="00A00287">
              <w:t xml:space="preserve"> .</w:t>
            </w:r>
          </w:p>
          <w:p w14:paraId="08659867" w14:textId="2B850399" w:rsidR="00D64A38" w:rsidRDefault="00D64A38" w:rsidP="00D64A38">
            <w:pPr>
              <w:pStyle w:val="NoSpacing"/>
              <w:jc w:val="both"/>
            </w:pPr>
            <w:r>
              <w:t>4) Aktualizēt</w:t>
            </w:r>
            <w:r w:rsidR="00786AC6">
              <w:t>s</w:t>
            </w:r>
            <w:r>
              <w:t xml:space="preserve"> iepirkumu komisija</w:t>
            </w:r>
            <w:r w:rsidR="00786AC6">
              <w:t>s sastāvs</w:t>
            </w:r>
            <w:r>
              <w:t>.</w:t>
            </w:r>
          </w:p>
        </w:tc>
      </w:tr>
      <w:tr w:rsidR="00A00287" w14:paraId="7DDC5E98" w14:textId="5276818C" w:rsidTr="00AF2071">
        <w:tc>
          <w:tcPr>
            <w:tcW w:w="3539" w:type="dxa"/>
          </w:tcPr>
          <w:p w14:paraId="18F5BD5D" w14:textId="5A6F565B" w:rsidR="00A00287" w:rsidRDefault="00A00287" w:rsidP="00473297">
            <w:pPr>
              <w:jc w:val="both"/>
              <w:rPr>
                <w:rFonts w:ascii="Times New Roman" w:hAnsi="Times New Roman" w:cs="Times New Roman"/>
                <w:b/>
                <w:bCs/>
                <w:sz w:val="24"/>
                <w:szCs w:val="24"/>
              </w:rPr>
            </w:pPr>
            <w:r w:rsidRPr="00062557">
              <w:rPr>
                <w:rFonts w:ascii="Times New Roman" w:hAnsi="Times New Roman" w:cs="Times New Roman"/>
                <w:sz w:val="24"/>
                <w:szCs w:val="24"/>
              </w:rPr>
              <w:t>Atklātum</w:t>
            </w:r>
            <w:r>
              <w:rPr>
                <w:rFonts w:ascii="Times New Roman" w:hAnsi="Times New Roman" w:cs="Times New Roman"/>
                <w:sz w:val="24"/>
                <w:szCs w:val="24"/>
              </w:rPr>
              <w:t>s</w:t>
            </w:r>
            <w:r w:rsidRPr="00062557">
              <w:rPr>
                <w:rFonts w:ascii="Times New Roman" w:hAnsi="Times New Roman" w:cs="Times New Roman"/>
                <w:sz w:val="24"/>
                <w:szCs w:val="24"/>
              </w:rPr>
              <w:t xml:space="preserve"> par sabiedrības darbību </w:t>
            </w:r>
          </w:p>
        </w:tc>
        <w:tc>
          <w:tcPr>
            <w:tcW w:w="10206" w:type="dxa"/>
          </w:tcPr>
          <w:p w14:paraId="59EFF8DD" w14:textId="7908C915" w:rsidR="00A00287" w:rsidRDefault="00A00287" w:rsidP="003820FD">
            <w:pPr>
              <w:rPr>
                <w:rFonts w:ascii="Times New Roman" w:hAnsi="Times New Roman" w:cs="Times New Roman"/>
                <w:sz w:val="24"/>
                <w:szCs w:val="24"/>
              </w:rPr>
            </w:pPr>
            <w:r>
              <w:rPr>
                <w:rFonts w:ascii="Times New Roman" w:hAnsi="Times New Roman" w:cs="Times New Roman"/>
                <w:sz w:val="24"/>
                <w:szCs w:val="24"/>
              </w:rPr>
              <w:t xml:space="preserve">1) </w:t>
            </w:r>
            <w:r w:rsidR="00D64A38">
              <w:rPr>
                <w:rFonts w:ascii="Times New Roman" w:hAnsi="Times New Roman" w:cs="Times New Roman"/>
                <w:sz w:val="24"/>
                <w:szCs w:val="24"/>
              </w:rPr>
              <w:t>Darbojas</w:t>
            </w:r>
            <w:r>
              <w:rPr>
                <w:rFonts w:ascii="Times New Roman" w:hAnsi="Times New Roman" w:cs="Times New Roman"/>
                <w:sz w:val="24"/>
                <w:szCs w:val="24"/>
              </w:rPr>
              <w:t xml:space="preserve"> sabiedrības</w:t>
            </w:r>
            <w:r w:rsidRPr="00A841F4">
              <w:rPr>
                <w:rFonts w:ascii="Times New Roman" w:hAnsi="Times New Roman" w:cs="Times New Roman"/>
                <w:sz w:val="24"/>
                <w:szCs w:val="24"/>
              </w:rPr>
              <w:t xml:space="preserve"> iekšējā informācijas aprites sistēm</w:t>
            </w:r>
            <w:r>
              <w:rPr>
                <w:rFonts w:ascii="Times New Roman" w:hAnsi="Times New Roman" w:cs="Times New Roman"/>
                <w:sz w:val="24"/>
                <w:szCs w:val="24"/>
              </w:rPr>
              <w:t>a</w:t>
            </w:r>
            <w:r w:rsidRPr="00A841F4">
              <w:rPr>
                <w:rFonts w:ascii="Times New Roman" w:hAnsi="Times New Roman" w:cs="Times New Roman"/>
                <w:sz w:val="24"/>
                <w:szCs w:val="24"/>
              </w:rPr>
              <w:t>, lai sabiedrības darbinieki ir informēti par sabiedrības mērķi, sabiedrības vadības dokumentiem, iekšējiem tiesību aktiem un ētikas principiem</w:t>
            </w:r>
            <w:r>
              <w:rPr>
                <w:rFonts w:ascii="Times New Roman" w:hAnsi="Times New Roman" w:cs="Times New Roman"/>
                <w:sz w:val="24"/>
                <w:szCs w:val="24"/>
              </w:rPr>
              <w:t>;</w:t>
            </w:r>
          </w:p>
          <w:p w14:paraId="3FC89F1B" w14:textId="4A976E03" w:rsidR="00A00287" w:rsidRPr="0028303A" w:rsidRDefault="00A00287" w:rsidP="00473297">
            <w:pPr>
              <w:pStyle w:val="ListParagraph"/>
              <w:numPr>
                <w:ilvl w:val="0"/>
                <w:numId w:val="7"/>
              </w:numPr>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28303A">
              <w:rPr>
                <w:rFonts w:ascii="Times New Roman" w:hAnsi="Times New Roman" w:cs="Times New Roman"/>
                <w:sz w:val="24"/>
                <w:szCs w:val="24"/>
              </w:rPr>
              <w:t>Sabiedrības tīmekļvietnē</w:t>
            </w:r>
            <w:r>
              <w:rPr>
                <w:rFonts w:ascii="Times New Roman" w:hAnsi="Times New Roman" w:cs="Times New Roman"/>
                <w:sz w:val="24"/>
                <w:szCs w:val="24"/>
              </w:rPr>
              <w:t xml:space="preserve"> – </w:t>
            </w:r>
            <w:hyperlink r:id="rId12" w:history="1">
              <w:r w:rsidRPr="00684A20">
                <w:rPr>
                  <w:rStyle w:val="Hyperlink"/>
                  <w:rFonts w:ascii="Times New Roman" w:hAnsi="Times New Roman" w:cs="Times New Roman"/>
                  <w:sz w:val="24"/>
                  <w:szCs w:val="24"/>
                </w:rPr>
                <w:t>www.jekabpils-siltums.lv</w:t>
              </w:r>
            </w:hyperlink>
            <w:r>
              <w:rPr>
                <w:rFonts w:ascii="Times New Roman" w:hAnsi="Times New Roman" w:cs="Times New Roman"/>
                <w:sz w:val="24"/>
                <w:szCs w:val="24"/>
              </w:rPr>
              <w:t xml:space="preserve"> pastāvīgi</w:t>
            </w:r>
            <w:r w:rsidRPr="0028303A">
              <w:rPr>
                <w:rFonts w:ascii="Times New Roman" w:hAnsi="Times New Roman" w:cs="Times New Roman"/>
                <w:sz w:val="24"/>
                <w:szCs w:val="24"/>
              </w:rPr>
              <w:t xml:space="preserve"> ti</w:t>
            </w:r>
            <w:r w:rsidR="00786AC6">
              <w:rPr>
                <w:rFonts w:ascii="Times New Roman" w:hAnsi="Times New Roman" w:cs="Times New Roman"/>
                <w:sz w:val="24"/>
                <w:szCs w:val="24"/>
              </w:rPr>
              <w:t>ek</w:t>
            </w:r>
            <w:r w:rsidRPr="0028303A">
              <w:rPr>
                <w:rFonts w:ascii="Times New Roman" w:hAnsi="Times New Roman" w:cs="Times New Roman"/>
                <w:sz w:val="24"/>
                <w:szCs w:val="24"/>
              </w:rPr>
              <w:t xml:space="preserve"> publiskota </w:t>
            </w:r>
            <w:r>
              <w:rPr>
                <w:rFonts w:ascii="Times New Roman" w:hAnsi="Times New Roman" w:cs="Times New Roman"/>
                <w:sz w:val="24"/>
                <w:szCs w:val="24"/>
              </w:rPr>
              <w:t>aktuālā informācija sabiedrības pakalpojumu saņēmējiem;</w:t>
            </w:r>
          </w:p>
          <w:p w14:paraId="46D72221" w14:textId="650B797E" w:rsidR="00A00287" w:rsidRDefault="00A00287" w:rsidP="00473297">
            <w:pPr>
              <w:jc w:val="both"/>
              <w:rPr>
                <w:rFonts w:ascii="Times New Roman" w:hAnsi="Times New Roman" w:cs="Times New Roman"/>
                <w:sz w:val="24"/>
                <w:szCs w:val="24"/>
              </w:rPr>
            </w:pPr>
            <w:r>
              <w:rPr>
                <w:rFonts w:ascii="Times New Roman" w:hAnsi="Times New Roman" w:cs="Times New Roman"/>
                <w:sz w:val="24"/>
                <w:szCs w:val="24"/>
              </w:rPr>
              <w:lastRenderedPageBreak/>
              <w:t>3) Sabiedrības pakalpojumu saņēmēju rēķinos pastāvīgi t</w:t>
            </w:r>
            <w:r w:rsidRPr="0028303A">
              <w:rPr>
                <w:rFonts w:ascii="Times New Roman" w:hAnsi="Times New Roman" w:cs="Times New Roman"/>
                <w:sz w:val="24"/>
                <w:szCs w:val="24"/>
              </w:rPr>
              <w:t>i</w:t>
            </w:r>
            <w:r w:rsidR="00786AC6">
              <w:rPr>
                <w:rFonts w:ascii="Times New Roman" w:hAnsi="Times New Roman" w:cs="Times New Roman"/>
                <w:sz w:val="24"/>
                <w:szCs w:val="24"/>
              </w:rPr>
              <w:t>ek</w:t>
            </w:r>
            <w:r w:rsidRPr="0028303A">
              <w:rPr>
                <w:rFonts w:ascii="Times New Roman" w:hAnsi="Times New Roman" w:cs="Times New Roman"/>
                <w:sz w:val="24"/>
                <w:szCs w:val="24"/>
              </w:rPr>
              <w:t xml:space="preserve"> </w:t>
            </w:r>
            <w:r>
              <w:rPr>
                <w:rFonts w:ascii="Times New Roman" w:hAnsi="Times New Roman" w:cs="Times New Roman"/>
                <w:sz w:val="24"/>
                <w:szCs w:val="24"/>
              </w:rPr>
              <w:t>ievietota</w:t>
            </w:r>
            <w:r w:rsidRPr="0028303A">
              <w:rPr>
                <w:rFonts w:ascii="Times New Roman" w:hAnsi="Times New Roman" w:cs="Times New Roman"/>
                <w:sz w:val="24"/>
                <w:szCs w:val="24"/>
              </w:rPr>
              <w:t xml:space="preserve"> informācija par sabiedrības pakalpojumiem</w:t>
            </w:r>
            <w:r>
              <w:rPr>
                <w:rFonts w:ascii="Times New Roman" w:hAnsi="Times New Roman" w:cs="Times New Roman"/>
                <w:sz w:val="24"/>
                <w:szCs w:val="24"/>
              </w:rPr>
              <w:t>;</w:t>
            </w:r>
          </w:p>
          <w:p w14:paraId="46452A19" w14:textId="3C5D7AC0" w:rsidR="00A00287" w:rsidRDefault="00A00287" w:rsidP="003820FD">
            <w:pPr>
              <w:jc w:val="both"/>
              <w:rPr>
                <w:rFonts w:ascii="Times New Roman" w:hAnsi="Times New Roman" w:cs="Times New Roman"/>
                <w:sz w:val="24"/>
                <w:szCs w:val="24"/>
              </w:rPr>
            </w:pPr>
            <w:r>
              <w:rPr>
                <w:rFonts w:ascii="Times New Roman" w:hAnsi="Times New Roman" w:cs="Times New Roman"/>
                <w:sz w:val="24"/>
                <w:szCs w:val="24"/>
              </w:rPr>
              <w:t xml:space="preserve">4) Sabiedrības informēšanai sabiedrības tīmekļvietnē – </w:t>
            </w:r>
            <w:hyperlink r:id="rId13" w:history="1">
              <w:r w:rsidRPr="00684A20">
                <w:rPr>
                  <w:rStyle w:val="Hyperlink"/>
                  <w:rFonts w:ascii="Times New Roman" w:hAnsi="Times New Roman" w:cs="Times New Roman"/>
                  <w:sz w:val="24"/>
                  <w:szCs w:val="24"/>
                </w:rPr>
                <w:t>www.j</w:t>
              </w:r>
              <w:r w:rsidRPr="003820FD">
                <w:rPr>
                  <w:rStyle w:val="Hyperlink"/>
                  <w:rFonts w:ascii="Times New Roman" w:hAnsi="Times New Roman" w:cs="Times New Roman"/>
                  <w:sz w:val="24"/>
                  <w:szCs w:val="24"/>
                </w:rPr>
                <w:t>ekabpils-siltums</w:t>
              </w:r>
              <w:r w:rsidRPr="00684A20">
                <w:rPr>
                  <w:rStyle w:val="Hyperlink"/>
                  <w:rFonts w:ascii="Times New Roman" w:hAnsi="Times New Roman" w:cs="Times New Roman"/>
                  <w:sz w:val="24"/>
                  <w:szCs w:val="24"/>
                </w:rPr>
                <w:t>.lv</w:t>
              </w:r>
            </w:hyperlink>
            <w:r>
              <w:rPr>
                <w:rFonts w:ascii="Times New Roman" w:hAnsi="Times New Roman" w:cs="Times New Roman"/>
                <w:sz w:val="24"/>
                <w:szCs w:val="24"/>
              </w:rPr>
              <w:t xml:space="preserve">  publicēta likumā noteiktā aktuālā informācija  par sabiedrību, tostarp: </w:t>
            </w:r>
          </w:p>
          <w:p w14:paraId="03EF1266" w14:textId="36A7D6E3" w:rsidR="00D64A38" w:rsidRDefault="00D64A38" w:rsidP="003820FD">
            <w:pPr>
              <w:pStyle w:val="ListParagraph"/>
              <w:numPr>
                <w:ilvl w:val="0"/>
                <w:numId w:val="17"/>
              </w:numPr>
              <w:jc w:val="both"/>
              <w:rPr>
                <w:rFonts w:ascii="Times New Roman" w:hAnsi="Times New Roman" w:cs="Times New Roman"/>
                <w:sz w:val="24"/>
                <w:szCs w:val="24"/>
              </w:rPr>
            </w:pPr>
            <w:r w:rsidRPr="004A6FF8">
              <w:rPr>
                <w:rFonts w:ascii="Times New Roman" w:hAnsi="Times New Roman" w:cs="Times New Roman"/>
                <w:sz w:val="24"/>
                <w:szCs w:val="24"/>
              </w:rPr>
              <w:t>Vidēja termiņa darbības stratēģija</w:t>
            </w:r>
            <w:r>
              <w:rPr>
                <w:rFonts w:ascii="Times New Roman" w:hAnsi="Times New Roman" w:cs="Times New Roman"/>
                <w:sz w:val="24"/>
                <w:szCs w:val="24"/>
              </w:rPr>
              <w:t>s</w:t>
            </w:r>
            <w:r w:rsidRPr="004A6FF8">
              <w:rPr>
                <w:rFonts w:ascii="Times New Roman" w:hAnsi="Times New Roman" w:cs="Times New Roman"/>
                <w:sz w:val="24"/>
                <w:szCs w:val="24"/>
              </w:rPr>
              <w:t xml:space="preserve"> 20</w:t>
            </w:r>
            <w:r>
              <w:rPr>
                <w:rFonts w:ascii="Times New Roman" w:hAnsi="Times New Roman" w:cs="Times New Roman"/>
                <w:sz w:val="24"/>
                <w:szCs w:val="24"/>
              </w:rPr>
              <w:t>23</w:t>
            </w:r>
            <w:r w:rsidRPr="004A6FF8">
              <w:rPr>
                <w:rFonts w:ascii="Times New Roman" w:hAnsi="Times New Roman" w:cs="Times New Roman"/>
                <w:sz w:val="24"/>
                <w:szCs w:val="24"/>
              </w:rPr>
              <w:t>. – 202</w:t>
            </w:r>
            <w:r>
              <w:rPr>
                <w:rFonts w:ascii="Times New Roman" w:hAnsi="Times New Roman" w:cs="Times New Roman"/>
                <w:sz w:val="24"/>
                <w:szCs w:val="24"/>
              </w:rPr>
              <w:t>6</w:t>
            </w:r>
            <w:r w:rsidRPr="004A6FF8">
              <w:rPr>
                <w:rFonts w:ascii="Times New Roman" w:hAnsi="Times New Roman" w:cs="Times New Roman"/>
                <w:sz w:val="24"/>
                <w:szCs w:val="24"/>
              </w:rPr>
              <w:t>.gadam</w:t>
            </w:r>
            <w:r w:rsidR="00426248">
              <w:rPr>
                <w:rFonts w:ascii="Times New Roman" w:hAnsi="Times New Roman" w:cs="Times New Roman"/>
                <w:sz w:val="24"/>
                <w:szCs w:val="24"/>
              </w:rPr>
              <w:t>;</w:t>
            </w:r>
          </w:p>
          <w:p w14:paraId="666CE050" w14:textId="1C79B3AF" w:rsidR="00A00287" w:rsidRPr="004A6FF8" w:rsidRDefault="00A00287" w:rsidP="003820FD">
            <w:pPr>
              <w:pStyle w:val="ListParagraph"/>
              <w:numPr>
                <w:ilvl w:val="0"/>
                <w:numId w:val="17"/>
              </w:numPr>
              <w:jc w:val="both"/>
              <w:rPr>
                <w:rFonts w:ascii="Times New Roman" w:hAnsi="Times New Roman" w:cs="Times New Roman"/>
                <w:sz w:val="24"/>
                <w:szCs w:val="24"/>
              </w:rPr>
            </w:pPr>
            <w:r w:rsidRPr="004A6FF8">
              <w:rPr>
                <w:rFonts w:ascii="Times New Roman" w:hAnsi="Times New Roman" w:cs="Times New Roman"/>
                <w:sz w:val="24"/>
                <w:szCs w:val="24"/>
              </w:rPr>
              <w:t>Vidēja termiņa darbības stratēģija</w:t>
            </w:r>
            <w:r>
              <w:rPr>
                <w:rFonts w:ascii="Times New Roman" w:hAnsi="Times New Roman" w:cs="Times New Roman"/>
                <w:sz w:val="24"/>
                <w:szCs w:val="24"/>
              </w:rPr>
              <w:t>s</w:t>
            </w:r>
            <w:r w:rsidRPr="004A6FF8">
              <w:rPr>
                <w:rFonts w:ascii="Times New Roman" w:hAnsi="Times New Roman" w:cs="Times New Roman"/>
                <w:sz w:val="24"/>
                <w:szCs w:val="24"/>
              </w:rPr>
              <w:t xml:space="preserve"> 20</w:t>
            </w:r>
            <w:r w:rsidR="00D64A38">
              <w:rPr>
                <w:rFonts w:ascii="Times New Roman" w:hAnsi="Times New Roman" w:cs="Times New Roman"/>
                <w:sz w:val="24"/>
                <w:szCs w:val="24"/>
              </w:rPr>
              <w:t>23</w:t>
            </w:r>
            <w:r w:rsidRPr="004A6FF8">
              <w:rPr>
                <w:rFonts w:ascii="Times New Roman" w:hAnsi="Times New Roman" w:cs="Times New Roman"/>
                <w:sz w:val="24"/>
                <w:szCs w:val="24"/>
              </w:rPr>
              <w:t>. – 202</w:t>
            </w:r>
            <w:r w:rsidR="00D64A38">
              <w:rPr>
                <w:rFonts w:ascii="Times New Roman" w:hAnsi="Times New Roman" w:cs="Times New Roman"/>
                <w:sz w:val="24"/>
                <w:szCs w:val="24"/>
              </w:rPr>
              <w:t>6</w:t>
            </w:r>
            <w:r w:rsidRPr="004A6FF8">
              <w:rPr>
                <w:rFonts w:ascii="Times New Roman" w:hAnsi="Times New Roman" w:cs="Times New Roman"/>
                <w:sz w:val="24"/>
                <w:szCs w:val="24"/>
              </w:rPr>
              <w:t>.gadam grozījumi;</w:t>
            </w:r>
          </w:p>
          <w:p w14:paraId="79E65817" w14:textId="422B988B" w:rsidR="00A00287" w:rsidRPr="004A6FF8" w:rsidRDefault="00A00287" w:rsidP="003820FD">
            <w:pPr>
              <w:pStyle w:val="ListParagraph"/>
              <w:numPr>
                <w:ilvl w:val="0"/>
                <w:numId w:val="17"/>
              </w:numPr>
              <w:jc w:val="both"/>
              <w:rPr>
                <w:rFonts w:ascii="Times New Roman" w:hAnsi="Times New Roman" w:cs="Times New Roman"/>
                <w:sz w:val="24"/>
                <w:szCs w:val="24"/>
              </w:rPr>
            </w:pPr>
            <w:r w:rsidRPr="004A6FF8">
              <w:rPr>
                <w:rFonts w:ascii="Times New Roman" w:hAnsi="Times New Roman" w:cs="Times New Roman"/>
                <w:sz w:val="24"/>
                <w:szCs w:val="24"/>
              </w:rPr>
              <w:t>Veiktās iemaksas valsts un pašvaldības budžetā 202</w:t>
            </w:r>
            <w:r w:rsidR="00786AC6">
              <w:rPr>
                <w:rFonts w:ascii="Times New Roman" w:hAnsi="Times New Roman" w:cs="Times New Roman"/>
                <w:sz w:val="24"/>
                <w:szCs w:val="24"/>
              </w:rPr>
              <w:t>4</w:t>
            </w:r>
            <w:r w:rsidRPr="004A6FF8">
              <w:rPr>
                <w:rFonts w:ascii="Times New Roman" w:hAnsi="Times New Roman" w:cs="Times New Roman"/>
                <w:sz w:val="24"/>
                <w:szCs w:val="24"/>
              </w:rPr>
              <w:t>.gadā;</w:t>
            </w:r>
          </w:p>
          <w:p w14:paraId="0B3A2F2F" w14:textId="7F158002" w:rsidR="00A00287"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Finanšu un </w:t>
            </w:r>
            <w:proofErr w:type="spellStart"/>
            <w:r>
              <w:rPr>
                <w:rFonts w:ascii="Times New Roman" w:hAnsi="Times New Roman" w:cs="Times New Roman"/>
                <w:sz w:val="24"/>
                <w:szCs w:val="24"/>
              </w:rPr>
              <w:t>nefinanšu</w:t>
            </w:r>
            <w:proofErr w:type="spellEnd"/>
            <w:r>
              <w:rPr>
                <w:rFonts w:ascii="Times New Roman" w:hAnsi="Times New Roman" w:cs="Times New Roman"/>
                <w:sz w:val="24"/>
                <w:szCs w:val="24"/>
              </w:rPr>
              <w:t xml:space="preserve"> mērķi 202</w:t>
            </w:r>
            <w:r w:rsidR="00786AC6">
              <w:rPr>
                <w:rFonts w:ascii="Times New Roman" w:hAnsi="Times New Roman" w:cs="Times New Roman"/>
                <w:sz w:val="24"/>
                <w:szCs w:val="24"/>
              </w:rPr>
              <w:t>4</w:t>
            </w:r>
            <w:r>
              <w:rPr>
                <w:rFonts w:ascii="Times New Roman" w:hAnsi="Times New Roman" w:cs="Times New Roman"/>
                <w:sz w:val="24"/>
                <w:szCs w:val="24"/>
              </w:rPr>
              <w:t>.gadā;</w:t>
            </w:r>
          </w:p>
          <w:p w14:paraId="14CE744D" w14:textId="10976DA9" w:rsidR="00A00287" w:rsidRPr="004A6FF8"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F</w:t>
            </w:r>
            <w:r w:rsidRPr="004A6FF8">
              <w:rPr>
                <w:rFonts w:ascii="Times New Roman" w:hAnsi="Times New Roman" w:cs="Times New Roman"/>
                <w:sz w:val="24"/>
                <w:szCs w:val="24"/>
              </w:rPr>
              <w:t xml:space="preserve">inanšu un </w:t>
            </w:r>
            <w:proofErr w:type="spellStart"/>
            <w:r w:rsidRPr="004A6FF8">
              <w:rPr>
                <w:rFonts w:ascii="Times New Roman" w:hAnsi="Times New Roman" w:cs="Times New Roman"/>
                <w:sz w:val="24"/>
                <w:szCs w:val="24"/>
              </w:rPr>
              <w:t>nefinanšu</w:t>
            </w:r>
            <w:proofErr w:type="spellEnd"/>
            <w:r w:rsidRPr="004A6FF8">
              <w:rPr>
                <w:rFonts w:ascii="Times New Roman" w:hAnsi="Times New Roman" w:cs="Times New Roman"/>
                <w:sz w:val="24"/>
                <w:szCs w:val="24"/>
              </w:rPr>
              <w:t xml:space="preserve"> mērķu </w:t>
            </w:r>
            <w:r>
              <w:rPr>
                <w:rFonts w:ascii="Times New Roman" w:hAnsi="Times New Roman" w:cs="Times New Roman"/>
                <w:sz w:val="24"/>
                <w:szCs w:val="24"/>
              </w:rPr>
              <w:t>izpilde</w:t>
            </w:r>
            <w:r w:rsidRPr="004A6FF8">
              <w:rPr>
                <w:rFonts w:ascii="Times New Roman" w:hAnsi="Times New Roman" w:cs="Times New Roman"/>
                <w:sz w:val="24"/>
                <w:szCs w:val="24"/>
              </w:rPr>
              <w:t xml:space="preserve"> 202</w:t>
            </w:r>
            <w:r w:rsidR="00786AC6">
              <w:rPr>
                <w:rFonts w:ascii="Times New Roman" w:hAnsi="Times New Roman" w:cs="Times New Roman"/>
                <w:sz w:val="24"/>
                <w:szCs w:val="24"/>
              </w:rPr>
              <w:t>4</w:t>
            </w:r>
            <w:r w:rsidRPr="004A6FF8">
              <w:rPr>
                <w:rFonts w:ascii="Times New Roman" w:hAnsi="Times New Roman" w:cs="Times New Roman"/>
                <w:sz w:val="24"/>
                <w:szCs w:val="24"/>
              </w:rPr>
              <w:t>.gadā;</w:t>
            </w:r>
          </w:p>
          <w:p w14:paraId="4F5070E2" w14:textId="43E96C8B" w:rsidR="00A00287" w:rsidRPr="004A6FF8"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Z</w:t>
            </w:r>
            <w:r w:rsidRPr="004A6FF8">
              <w:rPr>
                <w:rFonts w:ascii="Times New Roman" w:hAnsi="Times New Roman" w:cs="Times New Roman"/>
                <w:sz w:val="24"/>
                <w:szCs w:val="24"/>
              </w:rPr>
              <w:t>vērināta revidenta nepārbaudīt</w:t>
            </w:r>
            <w:r>
              <w:rPr>
                <w:rFonts w:ascii="Times New Roman" w:hAnsi="Times New Roman" w:cs="Times New Roman"/>
                <w:sz w:val="24"/>
                <w:szCs w:val="24"/>
              </w:rPr>
              <w:t xml:space="preserve">i </w:t>
            </w:r>
            <w:proofErr w:type="spellStart"/>
            <w:r w:rsidRPr="004A6FF8">
              <w:rPr>
                <w:rFonts w:ascii="Times New Roman" w:hAnsi="Times New Roman" w:cs="Times New Roman"/>
                <w:sz w:val="24"/>
                <w:szCs w:val="24"/>
              </w:rPr>
              <w:t>starpperiodu</w:t>
            </w:r>
            <w:proofErr w:type="spellEnd"/>
            <w:r w:rsidRPr="004A6FF8">
              <w:rPr>
                <w:rFonts w:ascii="Times New Roman" w:hAnsi="Times New Roman" w:cs="Times New Roman"/>
                <w:sz w:val="24"/>
                <w:szCs w:val="24"/>
              </w:rPr>
              <w:t xml:space="preserve"> pārskat</w:t>
            </w:r>
            <w:r>
              <w:rPr>
                <w:rFonts w:ascii="Times New Roman" w:hAnsi="Times New Roman" w:cs="Times New Roman"/>
                <w:sz w:val="24"/>
                <w:szCs w:val="24"/>
              </w:rPr>
              <w:t>i</w:t>
            </w:r>
            <w:r w:rsidRPr="004A6FF8">
              <w:rPr>
                <w:rFonts w:ascii="Times New Roman" w:hAnsi="Times New Roman" w:cs="Times New Roman"/>
                <w:sz w:val="24"/>
                <w:szCs w:val="24"/>
              </w:rPr>
              <w:t xml:space="preserve"> par 202</w:t>
            </w:r>
            <w:r w:rsidR="00786AC6">
              <w:rPr>
                <w:rFonts w:ascii="Times New Roman" w:hAnsi="Times New Roman" w:cs="Times New Roman"/>
                <w:sz w:val="24"/>
                <w:szCs w:val="24"/>
              </w:rPr>
              <w:t>4</w:t>
            </w:r>
            <w:r w:rsidRPr="004A6FF8">
              <w:rPr>
                <w:rFonts w:ascii="Times New Roman" w:hAnsi="Times New Roman" w:cs="Times New Roman"/>
                <w:sz w:val="24"/>
                <w:szCs w:val="24"/>
              </w:rPr>
              <w:t>.gadu;</w:t>
            </w:r>
          </w:p>
          <w:p w14:paraId="5C076FCF" w14:textId="31AFF0F7" w:rsidR="00A00287" w:rsidRPr="004A6FF8"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Z</w:t>
            </w:r>
            <w:r w:rsidRPr="004A6FF8">
              <w:rPr>
                <w:rFonts w:ascii="Times New Roman" w:hAnsi="Times New Roman" w:cs="Times New Roman"/>
                <w:sz w:val="24"/>
                <w:szCs w:val="24"/>
              </w:rPr>
              <w:t>vērināta revidenta pārbaudīts gada pārskats par 202</w:t>
            </w:r>
            <w:r w:rsidR="00786AC6">
              <w:rPr>
                <w:rFonts w:ascii="Times New Roman" w:hAnsi="Times New Roman" w:cs="Times New Roman"/>
                <w:sz w:val="24"/>
                <w:szCs w:val="24"/>
              </w:rPr>
              <w:t>4</w:t>
            </w:r>
            <w:r w:rsidRPr="004A6FF8">
              <w:rPr>
                <w:rFonts w:ascii="Times New Roman" w:hAnsi="Times New Roman" w:cs="Times New Roman"/>
                <w:sz w:val="24"/>
                <w:szCs w:val="24"/>
              </w:rPr>
              <w:t>.gadu;</w:t>
            </w:r>
          </w:p>
          <w:p w14:paraId="24592CA5" w14:textId="76A5D515" w:rsidR="00A00287" w:rsidRPr="004A6FF8" w:rsidRDefault="00A00287"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w:t>
            </w:r>
            <w:r w:rsidRPr="004A6FF8">
              <w:rPr>
                <w:rFonts w:ascii="Times New Roman" w:hAnsi="Times New Roman" w:cs="Times New Roman"/>
                <w:sz w:val="24"/>
                <w:szCs w:val="24"/>
              </w:rPr>
              <w:t xml:space="preserve">nformācija par </w:t>
            </w:r>
            <w:r w:rsidR="00E51F79">
              <w:rPr>
                <w:rFonts w:ascii="Times New Roman" w:hAnsi="Times New Roman" w:cs="Times New Roman"/>
                <w:sz w:val="24"/>
                <w:szCs w:val="24"/>
              </w:rPr>
              <w:t>S</w:t>
            </w:r>
            <w:r w:rsidRPr="004A6FF8">
              <w:rPr>
                <w:rFonts w:ascii="Times New Roman" w:hAnsi="Times New Roman" w:cs="Times New Roman"/>
                <w:sz w:val="24"/>
                <w:szCs w:val="24"/>
              </w:rPr>
              <w:t>abiedrības dalībnieku sapulcēm un t</w:t>
            </w:r>
            <w:r w:rsidR="00E51F79">
              <w:rPr>
                <w:rFonts w:ascii="Times New Roman" w:hAnsi="Times New Roman" w:cs="Times New Roman"/>
                <w:sz w:val="24"/>
                <w:szCs w:val="24"/>
              </w:rPr>
              <w:t>o</w:t>
            </w:r>
            <w:r w:rsidRPr="004A6FF8">
              <w:rPr>
                <w:rFonts w:ascii="Times New Roman" w:hAnsi="Times New Roman" w:cs="Times New Roman"/>
                <w:sz w:val="24"/>
                <w:szCs w:val="24"/>
              </w:rPr>
              <w:t xml:space="preserve"> pieņemtajiem lēmumiem;</w:t>
            </w:r>
          </w:p>
          <w:p w14:paraId="5AA6689B" w14:textId="77777777" w:rsidR="00786AC6" w:rsidRDefault="00426248"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Valdes nolikums</w:t>
            </w:r>
            <w:r w:rsidR="00A00287" w:rsidRPr="00C4290F">
              <w:rPr>
                <w:rFonts w:ascii="Times New Roman" w:hAnsi="Times New Roman" w:cs="Times New Roman"/>
                <w:sz w:val="24"/>
                <w:szCs w:val="24"/>
              </w:rPr>
              <w:t>;</w:t>
            </w:r>
          </w:p>
          <w:p w14:paraId="33C3EEBE" w14:textId="4D27C787" w:rsidR="00786AC6" w:rsidRDefault="00786AC6"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Informācija par valdes atalgojumu;</w:t>
            </w:r>
          </w:p>
          <w:p w14:paraId="0C12849F" w14:textId="07D780BF" w:rsidR="00A00287" w:rsidRDefault="00786AC6"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Statūtu aktuālā redakcij</w:t>
            </w:r>
            <w:r w:rsidR="00E51F79">
              <w:rPr>
                <w:rFonts w:ascii="Times New Roman" w:hAnsi="Times New Roman" w:cs="Times New Roman"/>
                <w:sz w:val="24"/>
                <w:szCs w:val="24"/>
              </w:rPr>
              <w:t>a;</w:t>
            </w:r>
          </w:p>
          <w:p w14:paraId="5F4B37DC" w14:textId="232970C2" w:rsidR="00E51F79" w:rsidRDefault="00E51F79" w:rsidP="003820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Informācija par veiktajiem un saņemtajiem ziedojumiem.</w:t>
            </w:r>
          </w:p>
          <w:p w14:paraId="266E5F5F" w14:textId="03CA7733" w:rsidR="00A00287" w:rsidRDefault="00A00287" w:rsidP="003820FD">
            <w:pPr>
              <w:jc w:val="both"/>
              <w:rPr>
                <w:rFonts w:ascii="Times New Roman" w:hAnsi="Times New Roman" w:cs="Times New Roman"/>
                <w:b/>
                <w:bCs/>
                <w:sz w:val="24"/>
                <w:szCs w:val="24"/>
              </w:rPr>
            </w:pPr>
            <w:r w:rsidRPr="00C94334">
              <w:rPr>
                <w:rFonts w:ascii="Times New Roman" w:hAnsi="Times New Roman" w:cs="Times New Roman"/>
                <w:sz w:val="24"/>
                <w:szCs w:val="24"/>
              </w:rPr>
              <w:t>(</w:t>
            </w:r>
            <w:r w:rsidRPr="00C94334">
              <w:rPr>
                <w:rFonts w:ascii="Times New Roman" w:hAnsi="Times New Roman" w:cs="Times New Roman"/>
                <w:i/>
                <w:iCs/>
                <w:sz w:val="24"/>
                <w:szCs w:val="24"/>
              </w:rPr>
              <w:t>Publiskas personas kapitāla daļu un kapitālsabiedrības pārvaldības likuma 58.pant</w:t>
            </w:r>
            <w:r>
              <w:rPr>
                <w:rFonts w:ascii="Times New Roman" w:hAnsi="Times New Roman" w:cs="Times New Roman"/>
                <w:i/>
                <w:iCs/>
                <w:sz w:val="24"/>
                <w:szCs w:val="24"/>
              </w:rPr>
              <w:t>s</w:t>
            </w:r>
            <w:r w:rsidRPr="00C94334">
              <w:rPr>
                <w:rFonts w:ascii="Times New Roman" w:hAnsi="Times New Roman" w:cs="Times New Roman"/>
                <w:sz w:val="24"/>
                <w:szCs w:val="24"/>
              </w:rPr>
              <w:t>)</w:t>
            </w:r>
            <w:r>
              <w:rPr>
                <w:rFonts w:ascii="Times New Roman" w:hAnsi="Times New Roman" w:cs="Times New Roman"/>
                <w:sz w:val="24"/>
                <w:szCs w:val="24"/>
              </w:rPr>
              <w:t>.</w:t>
            </w:r>
          </w:p>
        </w:tc>
      </w:tr>
    </w:tbl>
    <w:p w14:paraId="35EF7AF9" w14:textId="77777777" w:rsidR="00B94D7A" w:rsidRDefault="00B94D7A" w:rsidP="007E0895">
      <w:pPr>
        <w:jc w:val="both"/>
        <w:rPr>
          <w:rFonts w:ascii="Times New Roman" w:hAnsi="Times New Roman" w:cs="Times New Roman"/>
          <w:b/>
          <w:bCs/>
          <w:sz w:val="24"/>
          <w:szCs w:val="24"/>
        </w:rPr>
      </w:pPr>
    </w:p>
    <w:sectPr w:rsidR="00B94D7A" w:rsidSect="006572F0">
      <w:footerReference w:type="default" r:id="rId14"/>
      <w:pgSz w:w="16838" w:h="11906" w:orient="landscape"/>
      <w:pgMar w:top="1134"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49B5" w14:textId="77777777" w:rsidR="00424A9E" w:rsidRDefault="00424A9E" w:rsidP="007D4077">
      <w:pPr>
        <w:spacing w:after="0" w:line="240" w:lineRule="auto"/>
      </w:pPr>
      <w:r>
        <w:separator/>
      </w:r>
    </w:p>
  </w:endnote>
  <w:endnote w:type="continuationSeparator" w:id="0">
    <w:p w14:paraId="6B532311" w14:textId="77777777" w:rsidR="00424A9E" w:rsidRDefault="00424A9E" w:rsidP="007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882363"/>
      <w:docPartObj>
        <w:docPartGallery w:val="Page Numbers (Bottom of Page)"/>
        <w:docPartUnique/>
      </w:docPartObj>
    </w:sdtPr>
    <w:sdtEndPr/>
    <w:sdtContent>
      <w:p w14:paraId="4E8DF054" w14:textId="4040BB41" w:rsidR="007D4077" w:rsidRDefault="007D4077">
        <w:pPr>
          <w:pStyle w:val="Footer"/>
          <w:jc w:val="center"/>
        </w:pPr>
        <w:r>
          <w:fldChar w:fldCharType="begin"/>
        </w:r>
        <w:r>
          <w:instrText>PAGE   \* MERGEFORMAT</w:instrText>
        </w:r>
        <w:r>
          <w:fldChar w:fldCharType="separate"/>
        </w:r>
        <w:r>
          <w:t>2</w:t>
        </w:r>
        <w:r>
          <w:fldChar w:fldCharType="end"/>
        </w:r>
      </w:p>
    </w:sdtContent>
  </w:sdt>
  <w:p w14:paraId="2ED728FD" w14:textId="77777777" w:rsidR="007D4077" w:rsidRDefault="007D4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6C0A" w14:textId="77777777" w:rsidR="00424A9E" w:rsidRDefault="00424A9E" w:rsidP="007D4077">
      <w:pPr>
        <w:spacing w:after="0" w:line="240" w:lineRule="auto"/>
      </w:pPr>
      <w:r>
        <w:separator/>
      </w:r>
    </w:p>
  </w:footnote>
  <w:footnote w:type="continuationSeparator" w:id="0">
    <w:p w14:paraId="5CE96DC6" w14:textId="77777777" w:rsidR="00424A9E" w:rsidRDefault="00424A9E" w:rsidP="007D4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505F"/>
    <w:multiLevelType w:val="hybridMultilevel"/>
    <w:tmpl w:val="F85A1F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F32934"/>
    <w:multiLevelType w:val="hybridMultilevel"/>
    <w:tmpl w:val="432451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BD478A"/>
    <w:multiLevelType w:val="hybridMultilevel"/>
    <w:tmpl w:val="E7541498"/>
    <w:lvl w:ilvl="0" w:tplc="5CC0C2CE">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D2222A"/>
    <w:multiLevelType w:val="hybridMultilevel"/>
    <w:tmpl w:val="1E0882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A15EC1"/>
    <w:multiLevelType w:val="multilevel"/>
    <w:tmpl w:val="18302A02"/>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5" w15:restartNumberingAfterBreak="0">
    <w:nsid w:val="408A41E9"/>
    <w:multiLevelType w:val="hybridMultilevel"/>
    <w:tmpl w:val="D6DAEF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EC0396"/>
    <w:multiLevelType w:val="hybridMultilevel"/>
    <w:tmpl w:val="9432DC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7D24DE"/>
    <w:multiLevelType w:val="hybridMultilevel"/>
    <w:tmpl w:val="4E801D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DAA37CA"/>
    <w:multiLevelType w:val="hybridMultilevel"/>
    <w:tmpl w:val="E7541498"/>
    <w:lvl w:ilvl="0" w:tplc="5CC0C2CE">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9A67D2"/>
    <w:multiLevelType w:val="hybridMultilevel"/>
    <w:tmpl w:val="EE2221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1701B3"/>
    <w:multiLevelType w:val="hybridMultilevel"/>
    <w:tmpl w:val="DD2A38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70268C"/>
    <w:multiLevelType w:val="hybridMultilevel"/>
    <w:tmpl w:val="8FD0B1F0"/>
    <w:lvl w:ilvl="0" w:tplc="04260011">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C572C7F"/>
    <w:multiLevelType w:val="hybridMultilevel"/>
    <w:tmpl w:val="4894DC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A71867"/>
    <w:multiLevelType w:val="hybridMultilevel"/>
    <w:tmpl w:val="150E0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4C3A39"/>
    <w:multiLevelType w:val="hybridMultilevel"/>
    <w:tmpl w:val="135866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BD65E5"/>
    <w:multiLevelType w:val="hybridMultilevel"/>
    <w:tmpl w:val="CFD4B29C"/>
    <w:lvl w:ilvl="0" w:tplc="BC7C869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6B450E2A"/>
    <w:multiLevelType w:val="hybridMultilevel"/>
    <w:tmpl w:val="2464782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19079497">
    <w:abstractNumId w:val="8"/>
  </w:num>
  <w:num w:numId="2" w16cid:durableId="950480578">
    <w:abstractNumId w:val="15"/>
  </w:num>
  <w:num w:numId="3" w16cid:durableId="999622795">
    <w:abstractNumId w:val="2"/>
  </w:num>
  <w:num w:numId="4" w16cid:durableId="288636373">
    <w:abstractNumId w:val="1"/>
  </w:num>
  <w:num w:numId="5" w16cid:durableId="2120299426">
    <w:abstractNumId w:val="7"/>
  </w:num>
  <w:num w:numId="6" w16cid:durableId="650795777">
    <w:abstractNumId w:val="13"/>
  </w:num>
  <w:num w:numId="7" w16cid:durableId="1551503025">
    <w:abstractNumId w:val="12"/>
  </w:num>
  <w:num w:numId="8" w16cid:durableId="1237665447">
    <w:abstractNumId w:val="9"/>
  </w:num>
  <w:num w:numId="9" w16cid:durableId="1432553442">
    <w:abstractNumId w:val="5"/>
  </w:num>
  <w:num w:numId="10" w16cid:durableId="999039107">
    <w:abstractNumId w:val="3"/>
  </w:num>
  <w:num w:numId="11" w16cid:durableId="1720206059">
    <w:abstractNumId w:val="14"/>
  </w:num>
  <w:num w:numId="12" w16cid:durableId="1665545069">
    <w:abstractNumId w:val="0"/>
  </w:num>
  <w:num w:numId="13" w16cid:durableId="1977367415">
    <w:abstractNumId w:val="4"/>
  </w:num>
  <w:num w:numId="14" w16cid:durableId="753166255">
    <w:abstractNumId w:val="16"/>
  </w:num>
  <w:num w:numId="15" w16cid:durableId="1752193525">
    <w:abstractNumId w:val="6"/>
  </w:num>
  <w:num w:numId="16" w16cid:durableId="1190029327">
    <w:abstractNumId w:val="11"/>
  </w:num>
  <w:num w:numId="17" w16cid:durableId="1824807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CE"/>
    <w:rsid w:val="00041D04"/>
    <w:rsid w:val="00041DA2"/>
    <w:rsid w:val="00050436"/>
    <w:rsid w:val="00062557"/>
    <w:rsid w:val="00075E7A"/>
    <w:rsid w:val="000C3082"/>
    <w:rsid w:val="000F7681"/>
    <w:rsid w:val="001700E5"/>
    <w:rsid w:val="001C293E"/>
    <w:rsid w:val="001D65B8"/>
    <w:rsid w:val="002034C4"/>
    <w:rsid w:val="002036EB"/>
    <w:rsid w:val="0021599A"/>
    <w:rsid w:val="002276AA"/>
    <w:rsid w:val="00241214"/>
    <w:rsid w:val="00247284"/>
    <w:rsid w:val="0028303A"/>
    <w:rsid w:val="002B6319"/>
    <w:rsid w:val="002B6743"/>
    <w:rsid w:val="00321374"/>
    <w:rsid w:val="00324EE9"/>
    <w:rsid w:val="00346DC1"/>
    <w:rsid w:val="00356720"/>
    <w:rsid w:val="003820FD"/>
    <w:rsid w:val="00402984"/>
    <w:rsid w:val="00424A9E"/>
    <w:rsid w:val="00426248"/>
    <w:rsid w:val="00447905"/>
    <w:rsid w:val="00473297"/>
    <w:rsid w:val="00477DA6"/>
    <w:rsid w:val="004910ED"/>
    <w:rsid w:val="004D4549"/>
    <w:rsid w:val="004E2BC9"/>
    <w:rsid w:val="004F60AF"/>
    <w:rsid w:val="005416CF"/>
    <w:rsid w:val="00591A81"/>
    <w:rsid w:val="005B5EAB"/>
    <w:rsid w:val="005C3E25"/>
    <w:rsid w:val="005E2669"/>
    <w:rsid w:val="0064703F"/>
    <w:rsid w:val="006572F0"/>
    <w:rsid w:val="0067123D"/>
    <w:rsid w:val="006D4FCF"/>
    <w:rsid w:val="007024CE"/>
    <w:rsid w:val="0072682D"/>
    <w:rsid w:val="0073538C"/>
    <w:rsid w:val="00741421"/>
    <w:rsid w:val="00786AC6"/>
    <w:rsid w:val="007D4077"/>
    <w:rsid w:val="007E0895"/>
    <w:rsid w:val="00834BFF"/>
    <w:rsid w:val="00844376"/>
    <w:rsid w:val="00852E1E"/>
    <w:rsid w:val="00860717"/>
    <w:rsid w:val="0086286E"/>
    <w:rsid w:val="008A58EB"/>
    <w:rsid w:val="008E24E8"/>
    <w:rsid w:val="00922D15"/>
    <w:rsid w:val="009443AE"/>
    <w:rsid w:val="009506A6"/>
    <w:rsid w:val="00963A2A"/>
    <w:rsid w:val="00994B83"/>
    <w:rsid w:val="009B70CD"/>
    <w:rsid w:val="00A00287"/>
    <w:rsid w:val="00A00623"/>
    <w:rsid w:val="00A65D4C"/>
    <w:rsid w:val="00A67698"/>
    <w:rsid w:val="00AC78CC"/>
    <w:rsid w:val="00AF2071"/>
    <w:rsid w:val="00AF6456"/>
    <w:rsid w:val="00B144BA"/>
    <w:rsid w:val="00B94D7A"/>
    <w:rsid w:val="00B96BF2"/>
    <w:rsid w:val="00BD2523"/>
    <w:rsid w:val="00C024D7"/>
    <w:rsid w:val="00C30B33"/>
    <w:rsid w:val="00C72378"/>
    <w:rsid w:val="00C93150"/>
    <w:rsid w:val="00CD1DB6"/>
    <w:rsid w:val="00CD619F"/>
    <w:rsid w:val="00CD6E36"/>
    <w:rsid w:val="00CF4229"/>
    <w:rsid w:val="00D17A36"/>
    <w:rsid w:val="00D64A38"/>
    <w:rsid w:val="00D95F26"/>
    <w:rsid w:val="00DC1732"/>
    <w:rsid w:val="00E13BD3"/>
    <w:rsid w:val="00E51F79"/>
    <w:rsid w:val="00E83D64"/>
    <w:rsid w:val="00EC16E8"/>
    <w:rsid w:val="00F90FC6"/>
    <w:rsid w:val="00FC29BF"/>
    <w:rsid w:val="00FD47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EF66"/>
  <w15:chartTrackingRefBased/>
  <w15:docId w15:val="{18F61ACB-6AF3-4862-B882-98F9B69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895"/>
    <w:pPr>
      <w:ind w:left="720"/>
      <w:contextualSpacing/>
    </w:pPr>
  </w:style>
  <w:style w:type="table" w:styleId="TableGrid">
    <w:name w:val="Table Grid"/>
    <w:basedOn w:val="TableNormal"/>
    <w:uiPriority w:val="59"/>
    <w:rsid w:val="0006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C30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D40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4077"/>
  </w:style>
  <w:style w:type="paragraph" w:styleId="Footer">
    <w:name w:val="footer"/>
    <w:basedOn w:val="Normal"/>
    <w:link w:val="FooterChar"/>
    <w:uiPriority w:val="99"/>
    <w:unhideWhenUsed/>
    <w:rsid w:val="007D40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4077"/>
  </w:style>
  <w:style w:type="character" w:styleId="Hyperlink">
    <w:name w:val="Hyperlink"/>
    <w:basedOn w:val="DefaultParagraphFont"/>
    <w:uiPriority w:val="99"/>
    <w:unhideWhenUsed/>
    <w:rsid w:val="00DC1732"/>
    <w:rPr>
      <w:color w:val="0563C1" w:themeColor="hyperlink"/>
      <w:u w:val="single"/>
    </w:rPr>
  </w:style>
  <w:style w:type="character" w:styleId="UnresolvedMention">
    <w:name w:val="Unresolved Mention"/>
    <w:basedOn w:val="DefaultParagraphFont"/>
    <w:uiPriority w:val="99"/>
    <w:semiHidden/>
    <w:unhideWhenUsed/>
    <w:rsid w:val="00DC1732"/>
    <w:rPr>
      <w:color w:val="605E5C"/>
      <w:shd w:val="clear" w:color="auto" w:fill="E1DFDD"/>
    </w:rPr>
  </w:style>
  <w:style w:type="paragraph" w:styleId="NoSpacing">
    <w:name w:val="No Spacing"/>
    <w:uiPriority w:val="1"/>
    <w:qFormat/>
    <w:rsid w:val="004732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hyperlink" Target="http://www.jekabpils-silt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siltum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siltum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jekabpils-siltum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F4304-0523-47A9-A87D-C9D73DEA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4</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2021-03-22T12:55:00Z</cp:lastPrinted>
  <dcterms:created xsi:type="dcterms:W3CDTF">2025-07-14T17:11:00Z</dcterms:created>
  <dcterms:modified xsi:type="dcterms:W3CDTF">2025-07-14T17:11:00Z</dcterms:modified>
</cp:coreProperties>
</file>